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80" w:lineRule="auto"/>
        <w:rPr/>
      </w:pPr>
      <w:r w:rsidDel="00000000" w:rsidR="00000000" w:rsidRPr="00000000">
        <w:rPr>
          <w:rtl w:val="0"/>
        </w:rPr>
      </w:r>
    </w:p>
    <w:tbl>
      <w:tblPr>
        <w:tblStyle w:val="Table1"/>
        <w:tblW w:w="10080.0" w:type="dxa"/>
        <w:jc w:val="left"/>
        <w:tblInd w:w="-115.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8220"/>
        <w:gridCol w:w="1860"/>
        <w:tblGridChange w:id="0">
          <w:tblGrid>
            <w:gridCol w:w="8220"/>
            <w:gridCol w:w="1860"/>
          </w:tblGrid>
        </w:tblGridChange>
      </w:tblGrid>
      <w:tr>
        <w:trPr>
          <w:cantSplit w:val="0"/>
          <w:tblHeader w:val="0"/>
        </w:trPr>
        <w:tc>
          <w:tcPr/>
          <w:p w:rsidR="00000000" w:rsidDel="00000000" w:rsidP="00000000" w:rsidRDefault="00000000" w:rsidRPr="00000000" w14:paraId="00000002">
            <w:pPr>
              <w:ind w:right="-1920"/>
              <w:jc w:val="center"/>
              <w:rPr/>
            </w:pPr>
            <w:r w:rsidDel="00000000" w:rsidR="00000000" w:rsidRPr="00000000">
              <w:rPr>
                <w:rFonts w:ascii="Montserrat" w:cs="Montserrat" w:eastAsia="Montserrat" w:hAnsi="Montserrat"/>
                <w:rtl w:val="0"/>
              </w:rPr>
              <w:t xml:space="preserve">   </w:t>
            </w:r>
            <w:r w:rsidDel="00000000" w:rsidR="00000000" w:rsidRPr="00000000">
              <w:rPr>
                <w:rFonts w:ascii="Montserrat" w:cs="Montserrat" w:eastAsia="Montserrat" w:hAnsi="Montserrat"/>
              </w:rPr>
              <w:drawing>
                <wp:inline distB="0" distT="0" distL="114300" distR="114300">
                  <wp:extent cx="2011680" cy="1609918"/>
                  <wp:effectExtent b="0" l="0" r="0" t="0"/>
                  <wp:docPr id="1" name="image1.jpg"/>
                  <a:graphic>
                    <a:graphicData uri="http://schemas.openxmlformats.org/drawingml/2006/picture">
                      <pic:pic>
                        <pic:nvPicPr>
                          <pic:cNvPr id="0" name="image1.jpg"/>
                          <pic:cNvPicPr preferRelativeResize="0"/>
                        </pic:nvPicPr>
                        <pic:blipFill>
                          <a:blip r:embed="rId6"/>
                          <a:srcRect b="0" l="0" r="0" t="0"/>
                          <a:stretch>
                            <a:fillRect/>
                          </a:stretch>
                        </pic:blipFill>
                        <pic:spPr>
                          <a:xfrm>
                            <a:off x="0" y="0"/>
                            <a:ext cx="2011680" cy="1609918"/>
                          </a:xfrm>
                          <a:prstGeom prst="rect"/>
                          <a:ln/>
                        </pic:spPr>
                      </pic:pic>
                    </a:graphicData>
                  </a:graphic>
                </wp:inline>
              </w:drawing>
            </w:r>
            <w:r w:rsidDel="00000000" w:rsidR="00000000" w:rsidRPr="00000000">
              <w:rPr>
                <w:rtl w:val="0"/>
              </w:rPr>
            </w:r>
          </w:p>
        </w:tc>
        <w:tc>
          <w:tcPr/>
          <w:p w:rsidR="00000000" w:rsidDel="00000000" w:rsidP="00000000" w:rsidRDefault="00000000" w:rsidRPr="00000000" w14:paraId="00000003">
            <w:pPr>
              <w:spacing w:after="0" w:line="259" w:lineRule="auto"/>
              <w:rPr>
                <w:sz w:val="25"/>
                <w:szCs w:val="25"/>
              </w:rPr>
            </w:pPr>
            <w:r w:rsidDel="00000000" w:rsidR="00000000" w:rsidRPr="00000000">
              <w:rPr>
                <w:rtl w:val="0"/>
              </w:rPr>
            </w:r>
          </w:p>
          <w:p w:rsidR="00000000" w:rsidDel="00000000" w:rsidP="00000000" w:rsidRDefault="00000000" w:rsidRPr="00000000" w14:paraId="00000004">
            <w:pPr>
              <w:spacing w:after="0" w:line="259" w:lineRule="auto"/>
              <w:rPr>
                <w:sz w:val="25"/>
                <w:szCs w:val="25"/>
              </w:rPr>
            </w:pPr>
            <w:r w:rsidDel="00000000" w:rsidR="00000000" w:rsidRPr="00000000">
              <w:rPr>
                <w:rtl w:val="0"/>
              </w:rPr>
            </w:r>
          </w:p>
          <w:p w:rsidR="00000000" w:rsidDel="00000000" w:rsidP="00000000" w:rsidRDefault="00000000" w:rsidRPr="00000000" w14:paraId="00000005">
            <w:pPr>
              <w:spacing w:after="0" w:line="259" w:lineRule="auto"/>
              <w:rPr>
                <w:sz w:val="25"/>
                <w:szCs w:val="25"/>
              </w:rPr>
            </w:pPr>
            <w:r w:rsidDel="00000000" w:rsidR="00000000" w:rsidRPr="00000000">
              <w:rPr>
                <w:rtl w:val="0"/>
              </w:rPr>
            </w:r>
          </w:p>
          <w:p w:rsidR="00000000" w:rsidDel="00000000" w:rsidP="00000000" w:rsidRDefault="00000000" w:rsidRPr="00000000" w14:paraId="00000006">
            <w:pPr>
              <w:spacing w:after="0" w:line="259" w:lineRule="auto"/>
              <w:rPr>
                <w:sz w:val="25"/>
                <w:szCs w:val="25"/>
              </w:rPr>
            </w:pPr>
            <w:r w:rsidDel="00000000" w:rsidR="00000000" w:rsidRPr="00000000">
              <w:rPr>
                <w:rtl w:val="0"/>
              </w:rPr>
            </w:r>
          </w:p>
          <w:p w:rsidR="00000000" w:rsidDel="00000000" w:rsidP="00000000" w:rsidRDefault="00000000" w:rsidRPr="00000000" w14:paraId="00000007">
            <w:pPr>
              <w:spacing w:after="0" w:line="259" w:lineRule="auto"/>
              <w:rPr>
                <w:sz w:val="25"/>
                <w:szCs w:val="25"/>
              </w:rPr>
            </w:pPr>
            <w:r w:rsidDel="00000000" w:rsidR="00000000" w:rsidRPr="00000000">
              <w:rPr>
                <w:rtl w:val="0"/>
              </w:rPr>
            </w:r>
          </w:p>
          <w:p w:rsidR="00000000" w:rsidDel="00000000" w:rsidP="00000000" w:rsidRDefault="00000000" w:rsidRPr="00000000" w14:paraId="00000008">
            <w:pPr>
              <w:spacing w:after="0" w:line="259" w:lineRule="auto"/>
              <w:rPr>
                <w:sz w:val="25"/>
                <w:szCs w:val="25"/>
              </w:rPr>
            </w:pPr>
            <w:r w:rsidDel="00000000" w:rsidR="00000000" w:rsidRPr="00000000">
              <w:rPr>
                <w:rtl w:val="0"/>
              </w:rPr>
            </w:r>
          </w:p>
          <w:p w:rsidR="00000000" w:rsidDel="00000000" w:rsidP="00000000" w:rsidRDefault="00000000" w:rsidRPr="00000000" w14:paraId="00000009">
            <w:pPr>
              <w:spacing w:after="0" w:line="259" w:lineRule="auto"/>
              <w:rPr>
                <w:sz w:val="25"/>
                <w:szCs w:val="25"/>
              </w:rPr>
            </w:pPr>
            <w:r w:rsidDel="00000000" w:rsidR="00000000" w:rsidRPr="00000000">
              <w:rPr>
                <w:rtl w:val="0"/>
              </w:rPr>
            </w:r>
          </w:p>
          <w:p w:rsidR="00000000" w:rsidDel="00000000" w:rsidP="00000000" w:rsidRDefault="00000000" w:rsidRPr="00000000" w14:paraId="0000000A">
            <w:pPr>
              <w:spacing w:after="0" w:line="259" w:lineRule="auto"/>
              <w:rPr/>
            </w:pPr>
            <w:r w:rsidDel="00000000" w:rsidR="00000000" w:rsidRPr="00000000">
              <w:rPr>
                <w:rtl w:val="0"/>
              </w:rPr>
            </w:r>
          </w:p>
        </w:tc>
      </w:tr>
    </w:tbl>
    <w:p w:rsidR="00000000" w:rsidDel="00000000" w:rsidP="00000000" w:rsidRDefault="00000000" w:rsidRPr="00000000" w14:paraId="0000000B">
      <w:pPr>
        <w:widowControl w:val="0"/>
        <w:spacing w:after="0" w:before="182" w:line="259" w:lineRule="auto"/>
        <w:ind w:right="355"/>
        <w:jc w:val="both"/>
        <w:rPr>
          <w:rFonts w:ascii="Montserrat" w:cs="Montserrat" w:eastAsia="Montserrat" w:hAnsi="Montserrat"/>
        </w:rPr>
      </w:pPr>
      <w:r w:rsidDel="00000000" w:rsidR="00000000" w:rsidRPr="00000000">
        <w:rPr>
          <w:rFonts w:ascii="Montserrat" w:cs="Montserrat" w:eastAsia="Montserrat" w:hAnsi="Montserrat"/>
          <w:rtl w:val="0"/>
        </w:rPr>
        <w:t xml:space="preserve">Christian Rios is an accounting and finance professional with over a decade of experience spanning power generation, infrastructure, oil and gas, and corporate finance. His expertise includes financial modeling and valuation, capital structuring, and the development of financial tracking tools and reporting frameworks that improve visibility, accuracy, and decision-making across complex project portfolios.</w:t>
      </w:r>
    </w:p>
    <w:p w:rsidR="00000000" w:rsidDel="00000000" w:rsidP="00000000" w:rsidRDefault="00000000" w:rsidRPr="00000000" w14:paraId="0000000C">
      <w:pPr>
        <w:widowControl w:val="0"/>
        <w:spacing w:after="0" w:before="182" w:line="259" w:lineRule="auto"/>
        <w:ind w:right="355"/>
        <w:jc w:val="both"/>
        <w:rPr>
          <w:rFonts w:ascii="Montserrat" w:cs="Montserrat" w:eastAsia="Montserrat" w:hAnsi="Montserrat"/>
        </w:rPr>
      </w:pPr>
      <w:r w:rsidDel="00000000" w:rsidR="00000000" w:rsidRPr="00000000">
        <w:rPr>
          <w:rFonts w:ascii="Montserrat" w:cs="Montserrat" w:eastAsia="Montserrat" w:hAnsi="Montserrat"/>
          <w:rtl w:val="0"/>
        </w:rPr>
        <w:t xml:space="preserve">Throughout his career, Christian has held progressively senior accounting and finance roles across market analysis for renewable energy investments, regional financial controllership for greenfield power projects, FP&amp;A and SEC reporting, and international finance operations. He has led the financial structuring of greenfield power generation projects and overseen accounting and finance operations for a portfolio of companies with a combined capital value exceeding $1 billion.</w:t>
      </w:r>
    </w:p>
    <w:p w:rsidR="00000000" w:rsidDel="00000000" w:rsidP="00000000" w:rsidRDefault="00000000" w:rsidRPr="00000000" w14:paraId="0000000D">
      <w:pPr>
        <w:widowControl w:val="0"/>
        <w:spacing w:after="0" w:before="182" w:line="259" w:lineRule="auto"/>
        <w:ind w:right="355"/>
        <w:jc w:val="both"/>
        <w:rPr>
          <w:rFonts w:ascii="Montserrat" w:cs="Montserrat" w:eastAsia="Montserrat" w:hAnsi="Montserrat"/>
        </w:rPr>
      </w:pPr>
      <w:r w:rsidDel="00000000" w:rsidR="00000000" w:rsidRPr="00000000">
        <w:rPr>
          <w:rFonts w:ascii="Montserrat" w:cs="Montserrat" w:eastAsia="Montserrat" w:hAnsi="Montserrat"/>
          <w:rtl w:val="0"/>
        </w:rPr>
        <w:t xml:space="preserve">Christian holds an MBA from Rice University's Jones Graduate School of Business and a B.S. in Accounting from Voorhees University.</w:t>
      </w:r>
    </w:p>
    <w:p w:rsidR="00000000" w:rsidDel="00000000" w:rsidP="00000000" w:rsidRDefault="00000000" w:rsidRPr="00000000" w14:paraId="0000000E">
      <w:pPr>
        <w:widowControl w:val="0"/>
        <w:spacing w:after="0" w:before="182" w:line="259" w:lineRule="auto"/>
        <w:ind w:right="355"/>
        <w:jc w:val="both"/>
        <w:rPr/>
      </w:pPr>
      <w:r w:rsidDel="00000000" w:rsidR="00000000" w:rsidRPr="00000000">
        <w:rPr>
          <w:rFonts w:ascii="Montserrat" w:cs="Montserrat" w:eastAsia="Montserrat" w:hAnsi="Montserrat"/>
          <w:rtl w:val="0"/>
        </w:rPr>
        <w:t xml:space="preserve">At ACE, Christian brings this financial discipline to the intersection of climate finance and investor relations, helping strengthen the financial architecture, capital strategy, and investor-facing frameworks required to advance credible African carbon and climate projects.</w:t>
      </w:r>
      <w:r w:rsidDel="00000000" w:rsidR="00000000" w:rsidRPr="00000000">
        <w:rPr>
          <w:rtl w:val="0"/>
        </w:rPr>
      </w:r>
    </w:p>
    <w:sectPr>
      <w:pgSz w:h="15840" w:w="12240" w:orient="portrait"/>
      <w:pgMar w:bottom="936" w:top="936" w:left="1008" w:right="1008"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ptos"/>
  <w:font w:name="Montserrat">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4"/>
        <w:szCs w:val="24"/>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Calibri" w:cs="Calibri" w:eastAsia="Calibri" w:hAnsi="Calibri"/>
      <w:b w:val="1"/>
      <w:bCs w:val="1"/>
      <w:color w:val="366091"/>
      <w:sz w:val="28"/>
      <w:szCs w:val="28"/>
    </w:rPr>
  </w:style>
  <w:style w:type="paragraph" w:styleId="Heading2">
    <w:name w:val="heading 2"/>
    <w:basedOn w:val="Normal"/>
    <w:next w:val="Normal"/>
    <w:pPr>
      <w:keepNext w:val="1"/>
      <w:keepLines w:val="1"/>
      <w:spacing w:after="0" w:before="200" w:lineRule="auto"/>
    </w:pPr>
    <w:rPr>
      <w:rFonts w:ascii="Calibri" w:cs="Calibri" w:eastAsia="Calibri" w:hAnsi="Calibri"/>
      <w:b w:val="1"/>
      <w:bCs w:val="1"/>
      <w:color w:val="4f81bd"/>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color w:val="17365d"/>
      <w:sz w:val="52"/>
      <w:szCs w:val="52"/>
    </w:rPr>
  </w:style>
  <w:style w:type="paragraph" w:styleId="Subtitle">
    <w:name w:val="Subtitle"/>
    <w:basedOn w:val="Normal"/>
    <w:next w:val="Normal"/>
    <w:pPr/>
    <w:rPr>
      <w:rFonts w:ascii="Calibri" w:cs="Calibri" w:eastAsia="Calibri" w:hAnsi="Calibri"/>
      <w:i w:val="1"/>
      <w:iCs w:val="1"/>
      <w:color w:val="4f81bd"/>
      <w:sz w:val="24"/>
      <w:szCs w:val="24"/>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jpg"/></Relationships>
</file>

<file path=word/_rels/fontTable.xml.rels><?xml version="1.0" encoding="UTF-8" standalone="yes"?><Relationships xmlns="http://schemas.openxmlformats.org/package/2006/relationships"><Relationship Id="rId1" Type="http://schemas.openxmlformats.org/officeDocument/2006/relationships/font" Target="fonts/Montserrat-regular.ttf"/><Relationship Id="rId2" Type="http://schemas.openxmlformats.org/officeDocument/2006/relationships/font" Target="fonts/Montserrat-bold.ttf"/><Relationship Id="rId3" Type="http://schemas.openxmlformats.org/officeDocument/2006/relationships/font" Target="fonts/Montserrat-italic.ttf"/><Relationship Id="rId4" Type="http://schemas.openxmlformats.org/officeDocument/2006/relationships/font" Target="fonts/Montserrat-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